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9D" w:rsidRPr="0040769D" w:rsidRDefault="0040769D" w:rsidP="00CE0864">
      <w:pPr>
        <w:rPr>
          <w:b/>
        </w:rPr>
      </w:pPr>
      <w:bookmarkStart w:id="0" w:name="_GoBack"/>
      <w:bookmarkEnd w:id="0"/>
      <w:r w:rsidRPr="0040769D">
        <w:rPr>
          <w:b/>
        </w:rPr>
        <w:t xml:space="preserve">Have It All – </w:t>
      </w:r>
      <w:r w:rsidR="005414BB">
        <w:rPr>
          <w:b/>
        </w:rPr>
        <w:t>New Zealand</w:t>
      </w:r>
    </w:p>
    <w:p w:rsidR="0040769D" w:rsidRPr="0040769D" w:rsidRDefault="0040769D" w:rsidP="00CE0864">
      <w:pPr>
        <w:rPr>
          <w:b/>
        </w:rPr>
      </w:pPr>
    </w:p>
    <w:p w:rsidR="0040769D" w:rsidRPr="00AA17F0" w:rsidRDefault="0040769D" w:rsidP="00AA17F0">
      <w:pPr>
        <w:rPr>
          <w:b/>
        </w:rPr>
      </w:pPr>
      <w:r w:rsidRPr="0040769D">
        <w:rPr>
          <w:b/>
        </w:rPr>
        <w:t>Terms and Conditions:</w:t>
      </w:r>
    </w:p>
    <w:p w:rsidR="0040769D" w:rsidRPr="005414BB" w:rsidRDefault="0040769D" w:rsidP="00CE0864"/>
    <w:p w:rsidR="008571BC" w:rsidRDefault="00AA17F0" w:rsidP="008571BC">
      <w:pPr>
        <w:pStyle w:val="ListParagraph"/>
        <w:numPr>
          <w:ilvl w:val="0"/>
          <w:numId w:val="4"/>
        </w:numPr>
      </w:pPr>
      <w:r w:rsidRPr="005414BB">
        <w:t xml:space="preserve">Finance is provided by Komatsu Australia Corporate Finance Pty Ltd </w:t>
      </w:r>
      <w:r w:rsidR="005414BB" w:rsidRPr="005414BB">
        <w:t>(New Zealand Company Number 1505288, NZ Business number 9429035435785) (Komatsu Finance)) to</w:t>
      </w:r>
      <w:r w:rsidR="005414BB">
        <w:rPr>
          <w:sz w:val="24"/>
          <w:szCs w:val="24"/>
        </w:rPr>
        <w:t xml:space="preserve"> </w:t>
      </w:r>
      <w:r>
        <w:t>approved applicants only. Applicants must satisfy Komatsu Finance’s normal lending and credit criteria.  To apply, applicants must complete a Komatsu Finance application form and provide requested information. Fees, charges, terms and additional conditions apply.  Interes</w:t>
      </w:r>
      <w:r w:rsidR="005414BB">
        <w:t>t rate of 3.49% is based on a 15</w:t>
      </w:r>
      <w:r>
        <w:t xml:space="preserve">% deposit over a </w:t>
      </w:r>
      <w:proofErr w:type="gramStart"/>
      <w:r>
        <w:t>48 month</w:t>
      </w:r>
      <w:proofErr w:type="gramEnd"/>
      <w:r>
        <w:t xml:space="preserve"> term with no balloon payment. Different interest rates will apply for different terms and deposit amounts.  Deposit is calculated as a percentage of the equipment sale price excluding GST. Finance is via Hire Purchase with a nil balloon payment. Finance payments must be made to Komatsu Finance by direct debit only.</w:t>
      </w:r>
      <w:r w:rsidR="008571BC">
        <w:t xml:space="preserve">  </w:t>
      </w:r>
      <w:r>
        <w:t>This promotion is applicable to approved selected new Komatsu Construction Excavator range (PC138US-11 to PC360LC-11) that are ordered and delivered between 5 November 2018 and 31 January 2019, while stocks last. Promotion excludes Dash 8, IMC and Hybrid excavator models.</w:t>
      </w:r>
      <w:r w:rsidR="008571BC">
        <w:t xml:space="preserve">  </w:t>
      </w:r>
      <w:r>
        <w:t xml:space="preserve">All machines financed by Komatsu Finance must, </w:t>
      </w:r>
      <w:proofErr w:type="gramStart"/>
      <w:r>
        <w:t>at all times</w:t>
      </w:r>
      <w:proofErr w:type="gramEnd"/>
      <w:r>
        <w:t>, and at the customer’s cost, be fully insured by the customer, against all risks of fire, theft and physical damage or loss.</w:t>
      </w:r>
      <w:r w:rsidR="008571BC">
        <w:t xml:space="preserve">  </w:t>
      </w:r>
      <w:r>
        <w:t>Komatsu Finance reserves the right to vary or cancel this promotion and the low rate finance offer at any time, without notice.</w:t>
      </w:r>
    </w:p>
    <w:p w:rsidR="008571BC" w:rsidRDefault="008571BC" w:rsidP="008571BC">
      <w:pPr>
        <w:pStyle w:val="ListParagraph"/>
      </w:pPr>
    </w:p>
    <w:p w:rsidR="008571BC" w:rsidRPr="008571BC" w:rsidRDefault="008571BC" w:rsidP="008571BC">
      <w:pPr>
        <w:pStyle w:val="ListParagraph"/>
        <w:numPr>
          <w:ilvl w:val="0"/>
          <w:numId w:val="4"/>
        </w:numPr>
      </w:pPr>
      <w:r>
        <w:t xml:space="preserve">Quick Hitch offer. The </w:t>
      </w:r>
      <w:r>
        <w:rPr>
          <w:rFonts w:eastAsia="Times New Roman"/>
        </w:rPr>
        <w:t>free quick hitch offer applies to a non-tilting, dual locking KGA hydraulic quick hitch (“KGA quick hitch”) relevant to the size of the excavator model purchased.</w:t>
      </w:r>
      <w:r>
        <w:t xml:space="preserve"> </w:t>
      </w:r>
      <w:r>
        <w:rPr>
          <w:rFonts w:eastAsia="Times New Roman"/>
        </w:rPr>
        <w:t>An alternate quick hitch may be supplied if requested however if the price of the alternate quick hitch exceeds the price of the KGA quick hitch, the customer must pay the difference in price. No credits will be provided if the alternate quick hitch pricing is less than the KGA quick hitch. While stocks last.</w:t>
      </w:r>
    </w:p>
    <w:p w:rsidR="008571BC" w:rsidRDefault="008571BC" w:rsidP="008571BC">
      <w:pPr>
        <w:pStyle w:val="ListParagraph"/>
      </w:pPr>
    </w:p>
    <w:p w:rsidR="008571BC" w:rsidRDefault="008571BC" w:rsidP="008571BC">
      <w:pPr>
        <w:pStyle w:val="ListParagraph"/>
        <w:numPr>
          <w:ilvl w:val="0"/>
          <w:numId w:val="4"/>
        </w:numPr>
        <w:rPr>
          <w:rFonts w:eastAsia="Times New Roman"/>
        </w:rPr>
      </w:pPr>
      <w:r w:rsidRPr="008571BC">
        <w:rPr>
          <w:rFonts w:eastAsia="Times New Roman"/>
        </w:rPr>
        <w:t xml:space="preserve">2000 hr Komatsu </w:t>
      </w:r>
      <w:proofErr w:type="spellStart"/>
      <w:r w:rsidRPr="008571BC">
        <w:rPr>
          <w:rFonts w:eastAsia="Times New Roman"/>
        </w:rPr>
        <w:t>Komplimentary</w:t>
      </w:r>
      <w:proofErr w:type="spellEnd"/>
      <w:r w:rsidRPr="008571BC">
        <w:rPr>
          <w:rFonts w:eastAsia="Times New Roman"/>
        </w:rPr>
        <w:t xml:space="preserve"> Maintenance is provided subject to Komatsu’s terms and conditions of “</w:t>
      </w:r>
      <w:proofErr w:type="spellStart"/>
      <w:r w:rsidRPr="008571BC">
        <w:rPr>
          <w:rFonts w:eastAsia="Times New Roman"/>
        </w:rPr>
        <w:t>Komplimentary</w:t>
      </w:r>
      <w:proofErr w:type="spellEnd"/>
      <w:r w:rsidRPr="008571BC">
        <w:rPr>
          <w:rFonts w:eastAsia="Times New Roman"/>
        </w:rPr>
        <w:t xml:space="preserve"> Maintenance” available at </w:t>
      </w:r>
      <w:hyperlink r:id="rId5" w:history="1">
        <w:r w:rsidR="002A1BDE" w:rsidRPr="00272850">
          <w:rPr>
            <w:rStyle w:val="Hyperlink"/>
            <w:rFonts w:eastAsia="Times New Roman"/>
          </w:rPr>
          <w:t>http://www.komatsu.co.nz/Pages/Terms-and-Conditions.aspx</w:t>
        </w:r>
      </w:hyperlink>
    </w:p>
    <w:p w:rsidR="008571BC" w:rsidRPr="008571BC" w:rsidRDefault="008571BC" w:rsidP="008571BC">
      <w:pPr>
        <w:pStyle w:val="ListParagraph"/>
        <w:rPr>
          <w:rFonts w:eastAsia="Times New Roman"/>
        </w:rPr>
      </w:pPr>
    </w:p>
    <w:p w:rsidR="008571BC" w:rsidRPr="008571BC" w:rsidRDefault="008571BC" w:rsidP="008571BC">
      <w:pPr>
        <w:pStyle w:val="ListParagraph"/>
        <w:numPr>
          <w:ilvl w:val="0"/>
          <w:numId w:val="4"/>
        </w:numPr>
        <w:rPr>
          <w:rFonts w:eastAsia="Times New Roman"/>
        </w:rPr>
      </w:pPr>
      <w:r>
        <w:t>Fuel consumption savings are based on Komatsu factory</w:t>
      </w:r>
      <w:r w:rsidRPr="00E8215B">
        <w:t xml:space="preserve"> comparison</w:t>
      </w:r>
      <w:r>
        <w:t xml:space="preserve">s of the Komatsu Dash 11 to Komatsu Dash 8 excavator, </w:t>
      </w:r>
      <w:r w:rsidRPr="00E8215B">
        <w:t>based on</w:t>
      </w:r>
      <w:r>
        <w:t xml:space="preserve"> the excavator performing</w:t>
      </w:r>
      <w:r w:rsidRPr="00E8215B">
        <w:t xml:space="preserve"> </w:t>
      </w:r>
      <w:proofErr w:type="gramStart"/>
      <w:r w:rsidRPr="00E8215B">
        <w:t>90 degree</w:t>
      </w:r>
      <w:proofErr w:type="gramEnd"/>
      <w:r w:rsidRPr="00E8215B">
        <w:t xml:space="preserve"> truck loading</w:t>
      </w:r>
      <w:r>
        <w:t xml:space="preserve"> movements</w:t>
      </w:r>
      <w:r w:rsidRPr="00E8215B">
        <w:t xml:space="preserve"> in</w:t>
      </w:r>
      <w:r>
        <w:t xml:space="preserve"> the</w:t>
      </w:r>
      <w:r w:rsidRPr="00E8215B">
        <w:t xml:space="preserve"> </w:t>
      </w:r>
      <w:r>
        <w:t>“</w:t>
      </w:r>
      <w:r w:rsidRPr="00E8215B">
        <w:t>Power mode</w:t>
      </w:r>
      <w:r>
        <w:t>” setting</w:t>
      </w:r>
      <w:r w:rsidRPr="00E8215B">
        <w:t>.</w:t>
      </w:r>
      <w:r>
        <w:t xml:space="preserve"> </w:t>
      </w:r>
      <w:r w:rsidRPr="00E8215B">
        <w:t>Komatsu Dash 8 excavator fuel</w:t>
      </w:r>
      <w:r>
        <w:t xml:space="preserve"> consumption data was calculated</w:t>
      </w:r>
      <w:r w:rsidRPr="00E8215B">
        <w:t xml:space="preserve"> using</w:t>
      </w:r>
      <w:r>
        <w:t xml:space="preserve"> Komatsu’s KOMTRAX satellite monitoring system.</w:t>
      </w:r>
      <w:r w:rsidRPr="00E8215B">
        <w:t xml:space="preserve"> Komatsu Dash 11 excavator fuel</w:t>
      </w:r>
      <w:r>
        <w:t xml:space="preserve"> consumption data was</w:t>
      </w:r>
      <w:r w:rsidRPr="00E8215B">
        <w:t xml:space="preserve"> based on actual measur</w:t>
      </w:r>
      <w:r>
        <w:t xml:space="preserve">ed values in prototype machines. </w:t>
      </w:r>
      <w:r w:rsidRPr="00E8215B">
        <w:t>Actual fuel savings may vary depending on application and operating conditions</w:t>
      </w:r>
      <w:r>
        <w:t xml:space="preserve"> and will vary from model to model</w:t>
      </w:r>
      <w:r w:rsidRPr="00E8215B">
        <w:t>.</w:t>
      </w:r>
    </w:p>
    <w:p w:rsidR="008571BC" w:rsidRPr="008571BC" w:rsidRDefault="008571BC" w:rsidP="008571BC">
      <w:pPr>
        <w:pStyle w:val="ListParagraph"/>
        <w:rPr>
          <w:rFonts w:eastAsia="Times New Roman"/>
        </w:rPr>
      </w:pPr>
    </w:p>
    <w:p w:rsidR="008571BC" w:rsidRPr="00E43461" w:rsidRDefault="008571BC" w:rsidP="008571BC">
      <w:pPr>
        <w:pStyle w:val="ListParagraph"/>
        <w:numPr>
          <w:ilvl w:val="0"/>
          <w:numId w:val="4"/>
        </w:numPr>
      </w:pPr>
      <w:r>
        <w:rPr>
          <w:rFonts w:eastAsia="Times New Roman"/>
        </w:rPr>
        <w:t>$2000 parts credit (excl. GST) will only be provided to</w:t>
      </w:r>
      <w:r w:rsidR="005414BB">
        <w:rPr>
          <w:rFonts w:eastAsia="Times New Roman"/>
        </w:rPr>
        <w:t xml:space="preserve"> the first 1</w:t>
      </w:r>
      <w:r>
        <w:rPr>
          <w:rFonts w:eastAsia="Times New Roman"/>
        </w:rPr>
        <w:t xml:space="preserve">0 machines sold under the “Have It All” campaign </w:t>
      </w:r>
      <w:r>
        <w:t>ordered and delivered between 5 November 2018 and 31 January 2019</w:t>
      </w:r>
      <w:r>
        <w:rPr>
          <w:rFonts w:eastAsia="Times New Roman"/>
        </w:rPr>
        <w:t>.</w:t>
      </w:r>
      <w:r>
        <w:t xml:space="preserve"> </w:t>
      </w:r>
      <w:r>
        <w:rPr>
          <w:rFonts w:eastAsia="Times New Roman"/>
        </w:rPr>
        <w:t>Eligibility for the parts credit is based on a confirmed and committed order, as determined by Komatsu. Parts credit will be credited within 6 weeks of delivery of the machine.</w:t>
      </w:r>
    </w:p>
    <w:p w:rsidR="00E43461" w:rsidRDefault="00E43461" w:rsidP="00E43461">
      <w:pPr>
        <w:pStyle w:val="ListParagraph"/>
      </w:pPr>
    </w:p>
    <w:p w:rsidR="00E43461" w:rsidRDefault="00E43461" w:rsidP="00E43461">
      <w:pPr>
        <w:pStyle w:val="ListParagraph"/>
        <w:numPr>
          <w:ilvl w:val="0"/>
          <w:numId w:val="4"/>
        </w:numPr>
      </w:pPr>
      <w:r>
        <w:t>Offers and statements in paragraphs 2), 3), 4) and 5) referred to above are provided by Komatsu Australia Pty Ltd (</w:t>
      </w:r>
      <w:r w:rsidRPr="00E43461">
        <w:t>NZ Business Number 9429031514217</w:t>
      </w:r>
      <w:r>
        <w:t>).</w:t>
      </w:r>
    </w:p>
    <w:p w:rsidR="0040769D" w:rsidRDefault="0040769D" w:rsidP="00CE0864"/>
    <w:sectPr w:rsidR="00407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62F"/>
    <w:multiLevelType w:val="hybridMultilevel"/>
    <w:tmpl w:val="43F6B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0F231F"/>
    <w:multiLevelType w:val="hybridMultilevel"/>
    <w:tmpl w:val="5E2E78AA"/>
    <w:lvl w:ilvl="0" w:tplc="8DF435F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5206050C"/>
    <w:multiLevelType w:val="hybridMultilevel"/>
    <w:tmpl w:val="5E2E78AA"/>
    <w:lvl w:ilvl="0" w:tplc="8DF435F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5DDD2158"/>
    <w:multiLevelType w:val="hybridMultilevel"/>
    <w:tmpl w:val="6EE6D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3D"/>
    <w:rsid w:val="000C203D"/>
    <w:rsid w:val="00165201"/>
    <w:rsid w:val="00280314"/>
    <w:rsid w:val="002A1BDE"/>
    <w:rsid w:val="002B55CD"/>
    <w:rsid w:val="002E128C"/>
    <w:rsid w:val="003B294A"/>
    <w:rsid w:val="0040769D"/>
    <w:rsid w:val="005414BB"/>
    <w:rsid w:val="007172BE"/>
    <w:rsid w:val="008571BC"/>
    <w:rsid w:val="00AA17F0"/>
    <w:rsid w:val="00B63367"/>
    <w:rsid w:val="00C32ECB"/>
    <w:rsid w:val="00CE0864"/>
    <w:rsid w:val="00E43461"/>
    <w:rsid w:val="00E8215B"/>
    <w:rsid w:val="00E9516A"/>
    <w:rsid w:val="00F50247"/>
    <w:rsid w:val="00F955E5"/>
    <w:rsid w:val="00FB1D5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AB7D-4208-4DE5-8134-CFCC4F5A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03D"/>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15B"/>
    <w:rPr>
      <w:color w:val="0563C1" w:themeColor="hyperlink"/>
      <w:u w:val="single"/>
    </w:rPr>
  </w:style>
  <w:style w:type="character" w:styleId="UnresolvedMention">
    <w:name w:val="Unresolved Mention"/>
    <w:basedOn w:val="DefaultParagraphFont"/>
    <w:uiPriority w:val="99"/>
    <w:semiHidden/>
    <w:unhideWhenUsed/>
    <w:rsid w:val="00E8215B"/>
    <w:rPr>
      <w:color w:val="808080"/>
      <w:shd w:val="clear" w:color="auto" w:fill="E6E6E6"/>
    </w:rPr>
  </w:style>
  <w:style w:type="character" w:styleId="FollowedHyperlink">
    <w:name w:val="FollowedHyperlink"/>
    <w:basedOn w:val="DefaultParagraphFont"/>
    <w:uiPriority w:val="99"/>
    <w:semiHidden/>
    <w:unhideWhenUsed/>
    <w:rsid w:val="00280314"/>
    <w:rPr>
      <w:color w:val="954F72" w:themeColor="followedHyperlink"/>
      <w:u w:val="single"/>
    </w:rPr>
  </w:style>
  <w:style w:type="paragraph" w:styleId="ListParagraph">
    <w:name w:val="List Paragraph"/>
    <w:basedOn w:val="Normal"/>
    <w:uiPriority w:val="34"/>
    <w:qFormat/>
    <w:rsid w:val="0040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5000">
      <w:bodyDiv w:val="1"/>
      <w:marLeft w:val="0"/>
      <w:marRight w:val="0"/>
      <w:marTop w:val="0"/>
      <w:marBottom w:val="0"/>
      <w:divBdr>
        <w:top w:val="none" w:sz="0" w:space="0" w:color="auto"/>
        <w:left w:val="none" w:sz="0" w:space="0" w:color="auto"/>
        <w:bottom w:val="none" w:sz="0" w:space="0" w:color="auto"/>
        <w:right w:val="none" w:sz="0" w:space="0" w:color="auto"/>
      </w:divBdr>
    </w:div>
    <w:div w:id="448164964">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661541604">
      <w:bodyDiv w:val="1"/>
      <w:marLeft w:val="0"/>
      <w:marRight w:val="0"/>
      <w:marTop w:val="0"/>
      <w:marBottom w:val="0"/>
      <w:divBdr>
        <w:top w:val="none" w:sz="0" w:space="0" w:color="auto"/>
        <w:left w:val="none" w:sz="0" w:space="0" w:color="auto"/>
        <w:bottom w:val="none" w:sz="0" w:space="0" w:color="auto"/>
        <w:right w:val="none" w:sz="0" w:space="0" w:color="auto"/>
      </w:divBdr>
    </w:div>
    <w:div w:id="19957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atsu.co.nz/Pages/Terms-and-Condi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Lau</dc:creator>
  <cp:keywords/>
  <dc:description/>
  <cp:lastModifiedBy>Elle Schutte</cp:lastModifiedBy>
  <cp:revision>2</cp:revision>
  <dcterms:created xsi:type="dcterms:W3CDTF">2018-11-05T18:00:00Z</dcterms:created>
  <dcterms:modified xsi:type="dcterms:W3CDTF">2018-11-05T18:00:00Z</dcterms:modified>
</cp:coreProperties>
</file>